
<file path=[Content_Types].xml><?xml version="1.0" encoding="utf-8"?>
<Types xmlns="http://schemas.openxmlformats.org/package/2006/content-types">
  <Default Extension="web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Про проект </w:t>
      </w:r>
      <w:proofErr w:type="spellStart"/>
      <w:r w:rsidRPr="00793AF7">
        <w:rPr>
          <w:rFonts w:ascii="Times New Roman" w:hAnsi="Times New Roman" w:cs="Times New Roman"/>
          <w:sz w:val="28"/>
        </w:rPr>
        <w:t>рішення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ради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«Про </w:t>
      </w:r>
      <w:proofErr w:type="spellStart"/>
      <w:r w:rsidRPr="00793AF7">
        <w:rPr>
          <w:rFonts w:ascii="Times New Roman" w:hAnsi="Times New Roman" w:cs="Times New Roman"/>
          <w:sz w:val="28"/>
        </w:rPr>
        <w:t>розміщення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тимчасово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93AF7">
        <w:rPr>
          <w:rFonts w:ascii="Times New Roman" w:hAnsi="Times New Roman" w:cs="Times New Roman"/>
          <w:sz w:val="28"/>
        </w:rPr>
        <w:t>вільних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коштів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бюджету </w:t>
      </w:r>
      <w:proofErr w:type="spellStart"/>
      <w:r w:rsidRPr="00793AF7">
        <w:rPr>
          <w:rFonts w:ascii="Times New Roman" w:hAnsi="Times New Roman" w:cs="Times New Roman"/>
          <w:sz w:val="28"/>
        </w:rPr>
        <w:t>Черкаської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територіальної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громади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на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93AF7">
        <w:rPr>
          <w:rFonts w:ascii="Times New Roman" w:hAnsi="Times New Roman" w:cs="Times New Roman"/>
          <w:sz w:val="28"/>
        </w:rPr>
        <w:t>вкладних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3AF7">
        <w:rPr>
          <w:rFonts w:ascii="Times New Roman" w:hAnsi="Times New Roman" w:cs="Times New Roman"/>
          <w:sz w:val="28"/>
        </w:rPr>
        <w:t>депозитних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93AF7">
        <w:rPr>
          <w:rFonts w:ascii="Times New Roman" w:hAnsi="Times New Roman" w:cs="Times New Roman"/>
          <w:sz w:val="28"/>
        </w:rPr>
        <w:t>рахунках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у банках у 2025 </w:t>
      </w:r>
      <w:proofErr w:type="spellStart"/>
      <w:r w:rsidRPr="00793AF7">
        <w:rPr>
          <w:rFonts w:ascii="Times New Roman" w:hAnsi="Times New Roman" w:cs="Times New Roman"/>
          <w:sz w:val="28"/>
        </w:rPr>
        <w:t>році</w:t>
      </w:r>
      <w:proofErr w:type="spellEnd"/>
      <w:r w:rsidRPr="00793AF7">
        <w:rPr>
          <w:rFonts w:ascii="Times New Roman" w:hAnsi="Times New Roman" w:cs="Times New Roman"/>
          <w:sz w:val="28"/>
        </w:rPr>
        <w:t>»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93AF7">
        <w:rPr>
          <w:rFonts w:ascii="Times New Roman" w:hAnsi="Times New Roman" w:cs="Times New Roman"/>
          <w:sz w:val="28"/>
        </w:rPr>
        <w:t>Відповідно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93AF7">
        <w:rPr>
          <w:rFonts w:ascii="Times New Roman" w:hAnsi="Times New Roman" w:cs="Times New Roman"/>
          <w:sz w:val="28"/>
        </w:rPr>
        <w:t>частини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793AF7">
        <w:rPr>
          <w:rFonts w:ascii="Times New Roman" w:hAnsi="Times New Roman" w:cs="Times New Roman"/>
          <w:sz w:val="28"/>
        </w:rPr>
        <w:t>статті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70 Закону </w:t>
      </w:r>
      <w:proofErr w:type="spellStart"/>
      <w:r w:rsidRPr="00793AF7">
        <w:rPr>
          <w:rFonts w:ascii="Times New Roman" w:hAnsi="Times New Roman" w:cs="Times New Roman"/>
          <w:sz w:val="28"/>
        </w:rPr>
        <w:t>України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793AF7">
        <w:rPr>
          <w:rFonts w:ascii="Times New Roman" w:hAnsi="Times New Roman" w:cs="Times New Roman"/>
          <w:sz w:val="28"/>
        </w:rPr>
        <w:t>місцеве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3AF7">
        <w:rPr>
          <w:rFonts w:ascii="Times New Roman" w:hAnsi="Times New Roman" w:cs="Times New Roman"/>
          <w:sz w:val="28"/>
        </w:rPr>
        <w:t>Україні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793AF7">
        <w:rPr>
          <w:rFonts w:ascii="Times New Roman" w:hAnsi="Times New Roman" w:cs="Times New Roman"/>
          <w:sz w:val="28"/>
        </w:rPr>
        <w:t>частини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8 </w:t>
      </w:r>
      <w:proofErr w:type="spellStart"/>
      <w:r w:rsidRPr="00793AF7">
        <w:rPr>
          <w:rFonts w:ascii="Times New Roman" w:hAnsi="Times New Roman" w:cs="Times New Roman"/>
          <w:sz w:val="28"/>
        </w:rPr>
        <w:t>статті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16 Бюджетного кодексу </w:t>
      </w:r>
      <w:proofErr w:type="spellStart"/>
      <w:r w:rsidRPr="00793AF7">
        <w:rPr>
          <w:rFonts w:ascii="Times New Roman" w:hAnsi="Times New Roman" w:cs="Times New Roman"/>
          <w:sz w:val="28"/>
        </w:rPr>
        <w:t>України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виконком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Черкаської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ради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ВИРІШИВ: 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93AF7">
        <w:rPr>
          <w:rFonts w:ascii="Times New Roman" w:hAnsi="Times New Roman" w:cs="Times New Roman"/>
          <w:sz w:val="28"/>
        </w:rPr>
        <w:t>Схвалити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проект </w:t>
      </w:r>
      <w:proofErr w:type="spellStart"/>
      <w:r w:rsidRPr="00793AF7">
        <w:rPr>
          <w:rFonts w:ascii="Times New Roman" w:hAnsi="Times New Roman" w:cs="Times New Roman"/>
          <w:sz w:val="28"/>
        </w:rPr>
        <w:t>рішення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ради «Про </w:t>
      </w:r>
      <w:proofErr w:type="spellStart"/>
      <w:r w:rsidRPr="00793AF7">
        <w:rPr>
          <w:rFonts w:ascii="Times New Roman" w:hAnsi="Times New Roman" w:cs="Times New Roman"/>
          <w:sz w:val="28"/>
        </w:rPr>
        <w:t>розміщення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тимчасово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вільних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коштів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бюджету </w:t>
      </w:r>
      <w:proofErr w:type="spellStart"/>
      <w:r w:rsidRPr="00793AF7">
        <w:rPr>
          <w:rFonts w:ascii="Times New Roman" w:hAnsi="Times New Roman" w:cs="Times New Roman"/>
          <w:sz w:val="28"/>
        </w:rPr>
        <w:t>Черкаської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територіальної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громади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93AF7">
        <w:rPr>
          <w:rFonts w:ascii="Times New Roman" w:hAnsi="Times New Roman" w:cs="Times New Roman"/>
          <w:sz w:val="28"/>
        </w:rPr>
        <w:t>вкладних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3AF7">
        <w:rPr>
          <w:rFonts w:ascii="Times New Roman" w:hAnsi="Times New Roman" w:cs="Times New Roman"/>
          <w:sz w:val="28"/>
        </w:rPr>
        <w:t>депозитних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93AF7">
        <w:rPr>
          <w:rFonts w:ascii="Times New Roman" w:hAnsi="Times New Roman" w:cs="Times New Roman"/>
          <w:sz w:val="28"/>
        </w:rPr>
        <w:t>рахунках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у банках у 2025 </w:t>
      </w:r>
      <w:proofErr w:type="spellStart"/>
      <w:r w:rsidRPr="00793AF7">
        <w:rPr>
          <w:rFonts w:ascii="Times New Roman" w:hAnsi="Times New Roman" w:cs="Times New Roman"/>
          <w:sz w:val="28"/>
        </w:rPr>
        <w:t>році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» та подати </w:t>
      </w:r>
      <w:proofErr w:type="spellStart"/>
      <w:r w:rsidRPr="00793AF7">
        <w:rPr>
          <w:rFonts w:ascii="Times New Roman" w:hAnsi="Times New Roman" w:cs="Times New Roman"/>
          <w:sz w:val="28"/>
        </w:rPr>
        <w:t>його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93AF7">
        <w:rPr>
          <w:rFonts w:ascii="Times New Roman" w:hAnsi="Times New Roman" w:cs="Times New Roman"/>
          <w:sz w:val="28"/>
        </w:rPr>
        <w:t>розгляд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3AF7">
        <w:rPr>
          <w:rFonts w:ascii="Times New Roman" w:hAnsi="Times New Roman" w:cs="Times New Roman"/>
          <w:sz w:val="28"/>
        </w:rPr>
        <w:t>затвердження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міської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ради.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2. Контроль за </w:t>
      </w:r>
      <w:proofErr w:type="spellStart"/>
      <w:r w:rsidRPr="00793AF7">
        <w:rPr>
          <w:rFonts w:ascii="Times New Roman" w:hAnsi="Times New Roman" w:cs="Times New Roman"/>
          <w:sz w:val="28"/>
        </w:rPr>
        <w:t>виконанням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рішення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покласти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на директора департаменту </w:t>
      </w:r>
      <w:proofErr w:type="spellStart"/>
      <w:r w:rsidRPr="00793AF7">
        <w:rPr>
          <w:rFonts w:ascii="Times New Roman" w:hAnsi="Times New Roman" w:cs="Times New Roman"/>
          <w:sz w:val="28"/>
        </w:rPr>
        <w:t>фінансової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AF7">
        <w:rPr>
          <w:rFonts w:ascii="Times New Roman" w:hAnsi="Times New Roman" w:cs="Times New Roman"/>
          <w:sz w:val="28"/>
        </w:rPr>
        <w:t>політики</w:t>
      </w:r>
      <w:proofErr w:type="spellEnd"/>
      <w:r w:rsidRPr="00793AF7">
        <w:rPr>
          <w:rFonts w:ascii="Times New Roman" w:hAnsi="Times New Roman" w:cs="Times New Roman"/>
          <w:sz w:val="28"/>
        </w:rPr>
        <w:t xml:space="preserve"> Харенко Т.І.</w:t>
      </w: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 </w:t>
      </w: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330A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93AF7">
        <w:rPr>
          <w:rFonts w:ascii="Times New Roman" w:hAnsi="Times New Roman" w:cs="Times New Roman"/>
          <w:sz w:val="28"/>
        </w:rPr>
        <w:t>Мі</w:t>
      </w:r>
      <w:r>
        <w:rPr>
          <w:rFonts w:ascii="Times New Roman" w:hAnsi="Times New Roman" w:cs="Times New Roman"/>
          <w:sz w:val="28"/>
        </w:rPr>
        <w:t>ський</w:t>
      </w:r>
      <w:proofErr w:type="spellEnd"/>
      <w:r>
        <w:rPr>
          <w:rFonts w:ascii="Times New Roman" w:hAnsi="Times New Roman" w:cs="Times New Roman"/>
          <w:sz w:val="28"/>
        </w:rPr>
        <w:t xml:space="preserve"> голова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Анатолій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793AF7">
        <w:rPr>
          <w:rFonts w:ascii="Times New Roman" w:hAnsi="Times New Roman" w:cs="Times New Roman"/>
          <w:sz w:val="28"/>
        </w:rPr>
        <w:t>БОНДАРЕНКО</w:t>
      </w:r>
      <w:proofErr w:type="gramEnd"/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8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063"/>
        <w:gridCol w:w="1063"/>
        <w:gridCol w:w="704"/>
        <w:gridCol w:w="1845"/>
        <w:gridCol w:w="708"/>
        <w:gridCol w:w="1098"/>
        <w:gridCol w:w="1064"/>
        <w:gridCol w:w="1099"/>
        <w:gridCol w:w="21"/>
      </w:tblGrid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>
            <w:pPr>
              <w:rPr>
                <w:lang w:val="en-US"/>
              </w:rPr>
            </w:pPr>
          </w:p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noWrap/>
            <w:vAlign w:val="center"/>
          </w:tcPr>
          <w:p w:rsidR="004806FB" w:rsidRPr="00D013BE" w:rsidRDefault="004806FB" w:rsidP="007431EC"/>
        </w:tc>
        <w:tc>
          <w:tcPr>
            <w:tcW w:w="2163" w:type="dxa"/>
            <w:gridSpan w:val="2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:rsidR="004806FB" w:rsidRPr="004806FB" w:rsidRDefault="004806FB" w:rsidP="004806F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Проект </w:t>
            </w:r>
            <w:proofErr w:type="spellStart"/>
            <w:r w:rsidRPr="004806F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рішення</w:t>
            </w:r>
            <w:proofErr w:type="spellEnd"/>
          </w:p>
        </w:tc>
      </w:tr>
      <w:tr w:rsidR="004806FB" w:rsidRPr="00D013BE" w:rsidTr="007431EC">
        <w:trPr>
          <w:gridAfter w:val="1"/>
          <w:wAfter w:w="21" w:type="dxa"/>
          <w:trHeight w:val="1359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8625" cy="58822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98134804.web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8625" cy="58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tcBorders>
              <w:right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6FB" w:rsidRPr="00D013BE" w:rsidRDefault="004806FB" w:rsidP="007431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5418" w:type="dxa"/>
            <w:gridSpan w:val="5"/>
            <w:noWrap/>
            <w:vAlign w:val="center"/>
          </w:tcPr>
          <w:p w:rsidR="004806FB" w:rsidRPr="004806FB" w:rsidRDefault="004806FB" w:rsidP="00480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6F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  <w:tc>
          <w:tcPr>
            <w:tcW w:w="1099" w:type="dxa"/>
            <w:tcBorders>
              <w:top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</w:tr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>
            <w:pPr>
              <w:rPr>
                <w:color w:val="FFFFFF"/>
              </w:rPr>
            </w:pPr>
            <w:r w:rsidRPr="00D013BE">
              <w:rPr>
                <w:color w:val="FFFFFF"/>
              </w:rPr>
              <w:t>&lt;</w:t>
            </w:r>
          </w:p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/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noWrap/>
            <w:vAlign w:val="center"/>
          </w:tcPr>
          <w:p w:rsidR="004806FB" w:rsidRPr="00D013BE" w:rsidRDefault="004806FB" w:rsidP="007431EC"/>
        </w:tc>
        <w:tc>
          <w:tcPr>
            <w:tcW w:w="1064" w:type="dxa"/>
            <w:noWrap/>
            <w:vAlign w:val="center"/>
          </w:tcPr>
          <w:p w:rsidR="004806FB" w:rsidRPr="00D013BE" w:rsidRDefault="004806FB" w:rsidP="007431EC"/>
        </w:tc>
        <w:tc>
          <w:tcPr>
            <w:tcW w:w="1099" w:type="dxa"/>
            <w:noWrap/>
            <w:vAlign w:val="center"/>
          </w:tcPr>
          <w:p w:rsidR="004806FB" w:rsidRPr="00D013BE" w:rsidRDefault="004806FB" w:rsidP="007431EC"/>
        </w:tc>
      </w:tr>
      <w:tr w:rsidR="004806FB" w:rsidRPr="00D013BE" w:rsidTr="007431EC">
        <w:trPr>
          <w:gridAfter w:val="5"/>
          <w:wAfter w:w="3990" w:type="dxa"/>
          <w:trHeight w:val="1886"/>
          <w:jc w:val="center"/>
        </w:trPr>
        <w:tc>
          <w:tcPr>
            <w:tcW w:w="4036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6FB" w:rsidRPr="00D013BE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4806FB" w:rsidRPr="004806FB" w:rsidRDefault="004806FB" w:rsidP="004806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розміщення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тимчасово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вільних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коштів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бюджету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Черкаської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міської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територіальної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громади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на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вкладних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депозитних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)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рахунках</w:t>
            </w:r>
            <w:proofErr w:type="spellEnd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у банках у 202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k-UA"/>
              </w:rPr>
              <w:t>5</w:t>
            </w:r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році</w:t>
            </w:r>
            <w:proofErr w:type="spellEnd"/>
          </w:p>
          <w:p w:rsidR="004806FB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4806FB" w:rsidRPr="00D013BE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6FB" w:rsidRPr="00D013BE" w:rsidRDefault="004806FB" w:rsidP="007431EC">
            <w:pPr>
              <w:rPr>
                <w:sz w:val="28"/>
                <w:szCs w:val="28"/>
              </w:rPr>
            </w:pPr>
          </w:p>
        </w:tc>
      </w:tr>
      <w:tr w:rsidR="004806FB" w:rsidRPr="00D013BE" w:rsidTr="007431EC">
        <w:trPr>
          <w:trHeight w:val="7360"/>
          <w:jc w:val="center"/>
        </w:trPr>
        <w:tc>
          <w:tcPr>
            <w:tcW w:w="9871" w:type="dxa"/>
            <w:gridSpan w:val="10"/>
            <w:shd w:val="clear" w:color="auto" w:fill="auto"/>
            <w:noWrap/>
            <w:vAlign w:val="center"/>
          </w:tcPr>
          <w:p w:rsidR="004806FB" w:rsidRPr="004806FB" w:rsidRDefault="004806FB" w:rsidP="004806FB">
            <w:pPr>
              <w:widowControl w:val="0"/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Відповідно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частини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color w:val="111111"/>
                <w:w w:val="105"/>
                <w:sz w:val="28"/>
                <w:szCs w:val="28"/>
              </w:rPr>
              <w:t>2</w:t>
            </w:r>
            <w:r w:rsidRPr="004806FB">
              <w:rPr>
                <w:rFonts w:ascii="Times New Roman" w:hAnsi="Times New Roman" w:cs="Times New Roman"/>
                <w:color w:val="111111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статті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70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Закону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самоврядування</w:t>
            </w:r>
            <w:proofErr w:type="spellEnd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</w:t>
            </w:r>
            <w:proofErr w:type="spellEnd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»,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частини</w:t>
            </w:r>
            <w:proofErr w:type="spellEnd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8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статті</w:t>
            </w:r>
            <w:proofErr w:type="spellEnd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16 Бюджетного кодексу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постанови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Кабінету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Міністрів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від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12.01.2011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№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затвердження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порядку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розміщення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тимчасово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вільних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коштів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вкладних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депозитних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рахунках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у банках»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Черкаська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міська</w:t>
            </w:r>
            <w:proofErr w:type="spellEnd"/>
            <w:r w:rsidRPr="004806FB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рада</w:t>
            </w:r>
          </w:p>
          <w:p w:rsidR="004806FB" w:rsidRPr="00D013BE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hanging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>ВИРІШИЛА:</w:t>
            </w:r>
          </w:p>
          <w:p w:rsidR="004806FB" w:rsidRPr="004806FB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hanging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Доручити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Черкаської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конкурсних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засадах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вільних</w:t>
            </w:r>
            <w:proofErr w:type="spellEnd"/>
            <w:r w:rsidRPr="004806F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вкладних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депозитних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рахунках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у банках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806F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Порядку,</w:t>
            </w:r>
            <w:r w:rsidRPr="004806F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4806FB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4806FB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4806F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6FB" w:rsidRPr="004806FB" w:rsidRDefault="004806FB" w:rsidP="004806FB">
            <w:pPr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покласти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голову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Бондаренка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А. В.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постійну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proofErr w:type="spellEnd"/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806FB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4806FB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бюджету та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6FB" w:rsidRPr="00D013BE" w:rsidRDefault="004806FB" w:rsidP="007431E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FB" w:rsidRDefault="004806FB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>Міський</w:t>
            </w:r>
            <w:proofErr w:type="spellEnd"/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голова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>Анатолій</w:t>
            </w:r>
            <w:proofErr w:type="spellEnd"/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БОНДАРЕНКО</w:t>
            </w: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Pr="003D5EBF" w:rsidRDefault="00835E4C" w:rsidP="00835E4C">
            <w:pPr>
              <w:spacing w:after="0"/>
              <w:jc w:val="center"/>
            </w:pPr>
            <w:r w:rsidRPr="003D5EBF">
              <w:rPr>
                <w:noProof/>
              </w:rPr>
              <w:drawing>
                <wp:inline distT="0" distB="0" distL="0" distR="0" wp14:anchorId="1B36910D" wp14:editId="17676CFA">
                  <wp:extent cx="514350" cy="695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E4C" w:rsidRPr="003D5EBF" w:rsidRDefault="00835E4C" w:rsidP="00835E4C">
            <w:pPr>
              <w:spacing w:after="0"/>
              <w:jc w:val="center"/>
              <w:rPr>
                <w:rFonts w:ascii="Andalus" w:hAnsi="Andalus" w:cs="Andalus"/>
                <w:i/>
                <w:sz w:val="8"/>
                <w:szCs w:val="8"/>
              </w:rPr>
            </w:pPr>
          </w:p>
          <w:p w:rsidR="00835E4C" w:rsidRPr="00835E4C" w:rsidRDefault="00835E4C" w:rsidP="00835E4C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4C">
              <w:rPr>
                <w:rFonts w:ascii="Times New Roman" w:hAnsi="Times New Roman" w:cs="Times New Roman"/>
                <w:bCs/>
                <w:sz w:val="28"/>
                <w:szCs w:val="28"/>
              </w:rPr>
              <w:t>ЧЕРКАСЬКА МІСЬКА РАДА</w:t>
            </w:r>
          </w:p>
          <w:p w:rsidR="00835E4C" w:rsidRPr="00835E4C" w:rsidRDefault="00835E4C" w:rsidP="00835E4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35E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ДЕПАРТАМЕНТ </w:t>
            </w:r>
            <w:proofErr w:type="gramStart"/>
            <w:r w:rsidRPr="00835E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ФІНАНСОВОЇ  ПОЛІТИКИ</w:t>
            </w:r>
            <w:proofErr w:type="gramEnd"/>
          </w:p>
          <w:p w:rsidR="00835E4C" w:rsidRPr="00835E4C" w:rsidRDefault="00835E4C" w:rsidP="0083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 xml:space="preserve">. Б. </w:t>
            </w:r>
            <w:proofErr w:type="spellStart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>Вишневецького</w:t>
            </w:r>
            <w:proofErr w:type="spellEnd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 xml:space="preserve">, 36, м. </w:t>
            </w:r>
            <w:proofErr w:type="spellStart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>Черкаси</w:t>
            </w:r>
            <w:proofErr w:type="spellEnd"/>
            <w:r w:rsidRPr="00835E4C">
              <w:rPr>
                <w:rFonts w:ascii="Times New Roman" w:hAnsi="Times New Roman" w:cs="Times New Roman"/>
                <w:sz w:val="20"/>
                <w:szCs w:val="20"/>
              </w:rPr>
              <w:t xml:space="preserve">, 18000, код ЄДРПОУ 38764629, тел. </w:t>
            </w:r>
            <w:r w:rsidRPr="00835E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(0472)36-02-82, </w:t>
            </w:r>
            <w:r w:rsidRPr="00835E4C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35E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33-11-97</w:t>
            </w:r>
          </w:p>
          <w:p w:rsidR="00835E4C" w:rsidRPr="00835E4C" w:rsidRDefault="00835E4C" w:rsidP="00835E4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5E4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835E4C">
                <w:rPr>
                  <w:rFonts w:ascii="Times New Roman" w:hAnsi="Times New Roman" w:cs="Times New Roman"/>
                  <w:color w:val="0000FF"/>
                  <w:lang w:val="en-US"/>
                </w:rPr>
                <w:t>fin_mvk@dfp.ck.ua</w:t>
              </w:r>
            </w:hyperlink>
            <w:r w:rsidRPr="00835E4C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0" w:history="1">
              <w:r w:rsidRPr="00835E4C">
                <w:rPr>
                  <w:rFonts w:ascii="Times New Roman" w:hAnsi="Times New Roman" w:cs="Times New Roman"/>
                  <w:color w:val="0000FF"/>
                  <w:lang w:val="en-US"/>
                </w:rPr>
                <w:t>finck@ukr.net</w:t>
              </w:r>
            </w:hyperlink>
            <w:r w:rsidRPr="00835E4C">
              <w:rPr>
                <w:rFonts w:ascii="Times New Roman" w:hAnsi="Times New Roman" w:cs="Times New Roman"/>
                <w:lang w:val="en-US"/>
              </w:rPr>
              <w:t xml:space="preserve">, web: </w:t>
            </w:r>
            <w:hyperlink r:id="rId11" w:history="1">
              <w:r w:rsidRPr="00835E4C">
                <w:rPr>
                  <w:rFonts w:ascii="Times New Roman" w:hAnsi="Times New Roman" w:cs="Times New Roman"/>
                  <w:color w:val="0000FF"/>
                  <w:lang w:val="en-US"/>
                </w:rPr>
                <w:t>www.dfpck.gov.ua</w:t>
              </w:r>
            </w:hyperlink>
          </w:p>
          <w:p w:rsidR="00835E4C" w:rsidRPr="00850EC2" w:rsidRDefault="00835E4C" w:rsidP="00850EC2">
            <w:pPr>
              <w:spacing w:after="0"/>
              <w:rPr>
                <w:b/>
                <w:sz w:val="14"/>
                <w:szCs w:val="26"/>
                <w:lang w:val="en-US"/>
              </w:rPr>
            </w:pPr>
          </w:p>
          <w:p w:rsidR="00835E4C" w:rsidRPr="00850EC2" w:rsidRDefault="00835E4C" w:rsidP="0085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50EC2">
              <w:rPr>
                <w:rFonts w:ascii="Times New Roman" w:hAnsi="Times New Roman" w:cs="Times New Roman"/>
                <w:b/>
                <w:sz w:val="30"/>
                <w:szCs w:val="30"/>
              </w:rPr>
              <w:t>ПОЯСНЮВАЛЬНА ЗАПИСКА</w:t>
            </w:r>
          </w:p>
          <w:p w:rsidR="00835E4C" w:rsidRPr="00850EC2" w:rsidRDefault="00835E4C" w:rsidP="00850EC2">
            <w:pPr>
              <w:spacing w:after="0"/>
              <w:jc w:val="center"/>
              <w:rPr>
                <w:b/>
                <w:sz w:val="12"/>
                <w:szCs w:val="30"/>
              </w:rPr>
            </w:pPr>
          </w:p>
          <w:p w:rsidR="00835E4C" w:rsidRPr="00850EC2" w:rsidRDefault="00835E4C" w:rsidP="00850EC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проекту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рішення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бюджету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Черкаської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міської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територіальної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громади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вкладних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депозитних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рахунках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 банках у 2025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році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35E4C" w:rsidRPr="00850EC2" w:rsidRDefault="00835E4C" w:rsidP="00850EC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Відповідно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частини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8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статті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 Бюджетного кодексу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України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постанови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Кабінету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Міністрів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України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12.01.2011 № 6 «Про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порядку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вкладних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депозитних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рахунках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банках»,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місцевим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фінансовим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органам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надано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право на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конкурсних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засадах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розміщувати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вільні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депозитах.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Серед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умов 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proofErr w:type="gram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вкладних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депозитних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рахунках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банках є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необхідність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прийняття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місцевою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радою 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бюджету.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отримані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при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бюджету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зараховуються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доходів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загального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фонду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місцевого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бюджету та є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додатковим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джерелом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надходжень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бюджету.</w:t>
            </w:r>
          </w:p>
          <w:p w:rsidR="00835E4C" w:rsidRPr="00850EC2" w:rsidRDefault="00835E4C" w:rsidP="00850EC2">
            <w:pPr>
              <w:pStyle w:val="rvps2"/>
              <w:spacing w:before="0" w:beforeAutospacing="0" w:after="0" w:afterAutospacing="0"/>
              <w:ind w:firstLine="567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850EC2">
              <w:rPr>
                <w:color w:val="000000"/>
                <w:sz w:val="26"/>
                <w:szCs w:val="26"/>
                <w:lang w:val="uk-UA" w:eastAsia="uk-UA"/>
              </w:rPr>
              <w:t>Так, в результаті розміщення тимчасово вільних коштів на депозитному рахунку у попередні роки було додатково залучено до місцевого бюджету у 2020 році - 5 522,8 тис. грн, у 2021 році – 10 157,5 тис. грн, у 2022 році – 9 774,8 тис. грн.</w:t>
            </w:r>
          </w:p>
          <w:p w:rsidR="00835E4C" w:rsidRPr="00850EC2" w:rsidRDefault="00835E4C" w:rsidP="00850EC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В той же час, </w:t>
            </w:r>
            <w:r w:rsidRPr="00850EC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у зв’язку зі збройною агресією проти України та впровадженням заходів правового </w:t>
            </w:r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режиму воєнного стану, здійснення платежів органами Державної казначейської служби за дорученнями клієнтів відбувається з урахуванням ресурсної забезпеченості єдиного казначейського рахунка  та в черговості встановленої постановою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Кабінету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Міністрів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України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09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2021 року № 590</w:t>
            </w:r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«Про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Порядку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виконання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повноважень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Державною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казначейською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службою в особливому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режимі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умовах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воєнного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стану».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відповідних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операцій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відноситься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інших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витрат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що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передбачені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третьою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чергою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, та є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ускладненим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умовах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воєнного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стану.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Незважаючи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невиконання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органами Казначейства </w:t>
            </w:r>
            <w:proofErr w:type="spellStart"/>
            <w:proofErr w:type="gram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операцій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 з</w:t>
            </w:r>
            <w:proofErr w:type="gram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розміщенням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органами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державної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влади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положення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Порядку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вкладних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депозитних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рахунках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банках не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зміненні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право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розміщувати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вільні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місцевих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депозитах є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чинним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835E4C" w:rsidRPr="00502F90" w:rsidRDefault="00835E4C" w:rsidP="00850EC2">
            <w:pPr>
              <w:widowControl w:val="0"/>
              <w:spacing w:after="0"/>
              <w:ind w:firstLine="709"/>
              <w:jc w:val="both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Прийняття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цього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дозволить департаменту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фінансової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політики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Черкаської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міської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здійснити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заходи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конкурсу,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визначити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банківську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установу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тимчасово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вільних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бюджету на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депозитних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вкладних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рахунках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подання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органів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Казначейства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платіжних</w:t>
            </w:r>
            <w:proofErr w:type="spellEnd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документів</w:t>
            </w:r>
            <w:proofErr w:type="spellEnd"/>
            <w:r w:rsidRPr="00502F90">
              <w:rPr>
                <w:color w:val="000000"/>
                <w:sz w:val="26"/>
                <w:szCs w:val="26"/>
                <w:lang w:eastAsia="uk-UA"/>
              </w:rPr>
              <w:t>.</w:t>
            </w:r>
          </w:p>
          <w:p w:rsidR="00835E4C" w:rsidRPr="00850EC2" w:rsidRDefault="00835E4C" w:rsidP="00850EC2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Враховуючи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вищевикладене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, прошу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погодити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підтримати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зазначене</w:t>
            </w:r>
            <w:proofErr w:type="spellEnd"/>
            <w:proofErr w:type="gram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рішення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, проект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рішення</w:t>
            </w:r>
            <w:proofErr w:type="spellEnd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50E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додається</w:t>
            </w:r>
            <w:proofErr w:type="spellEnd"/>
          </w:p>
          <w:p w:rsidR="00850EC2" w:rsidRPr="00850EC2" w:rsidRDefault="00850EC2" w:rsidP="00850EC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850EC2" w:rsidRDefault="00835E4C" w:rsidP="00850E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департаменту</w:t>
            </w: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  <w:proofErr w:type="spellStart"/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>Тетяна</w:t>
            </w:r>
            <w:proofErr w:type="spellEnd"/>
            <w:r w:rsidRPr="00850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ХАРЕНКО</w:t>
            </w:r>
          </w:p>
          <w:p w:rsidR="00835E4C" w:rsidRPr="00850EC2" w:rsidRDefault="00835E4C" w:rsidP="00850E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C2">
              <w:rPr>
                <w:rFonts w:ascii="Times New Roman" w:hAnsi="Times New Roman" w:cs="Times New Roman"/>
                <w:sz w:val="18"/>
                <w:szCs w:val="20"/>
              </w:rPr>
              <w:t xml:space="preserve">ФЕСЕНКО Вікторія 33 78 62 </w:t>
            </w:r>
            <w:bookmarkStart w:id="0" w:name="_GoBack"/>
            <w:bookmarkEnd w:id="0"/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/>
          <w:p w:rsidR="00835E4C" w:rsidRPr="004806FB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6FB" w:rsidRPr="00D013BE" w:rsidRDefault="004806FB" w:rsidP="007431EC">
            <w:pPr>
              <w:tabs>
                <w:tab w:val="left" w:pos="-3828"/>
                <w:tab w:val="left" w:pos="-283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Pr="00793AF7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4806FB" w:rsidRPr="00793AF7" w:rsidSect="00850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4C" w:rsidRDefault="00835E4C" w:rsidP="00835E4C">
      <w:pPr>
        <w:spacing w:after="0" w:line="240" w:lineRule="auto"/>
      </w:pPr>
      <w:r>
        <w:separator/>
      </w:r>
    </w:p>
  </w:endnote>
  <w:endnote w:type="continuationSeparator" w:id="0">
    <w:p w:rsidR="00835E4C" w:rsidRDefault="00835E4C" w:rsidP="008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4C" w:rsidRDefault="00835E4C" w:rsidP="00835E4C">
      <w:pPr>
        <w:spacing w:after="0" w:line="240" w:lineRule="auto"/>
      </w:pPr>
      <w:r>
        <w:separator/>
      </w:r>
    </w:p>
  </w:footnote>
  <w:footnote w:type="continuationSeparator" w:id="0">
    <w:p w:rsidR="00835E4C" w:rsidRDefault="00835E4C" w:rsidP="0083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600F"/>
    <w:multiLevelType w:val="hybridMultilevel"/>
    <w:tmpl w:val="99FA92DC"/>
    <w:lvl w:ilvl="0" w:tplc="4CAA6636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0" w:hanging="360"/>
      </w:pPr>
    </w:lvl>
    <w:lvl w:ilvl="2" w:tplc="0422001B" w:tentative="1">
      <w:start w:val="1"/>
      <w:numFmt w:val="lowerRoman"/>
      <w:lvlText w:val="%3."/>
      <w:lvlJc w:val="right"/>
      <w:pPr>
        <w:ind w:left="2390" w:hanging="180"/>
      </w:pPr>
    </w:lvl>
    <w:lvl w:ilvl="3" w:tplc="0422000F" w:tentative="1">
      <w:start w:val="1"/>
      <w:numFmt w:val="decimal"/>
      <w:lvlText w:val="%4."/>
      <w:lvlJc w:val="left"/>
      <w:pPr>
        <w:ind w:left="3110" w:hanging="360"/>
      </w:pPr>
    </w:lvl>
    <w:lvl w:ilvl="4" w:tplc="04220019" w:tentative="1">
      <w:start w:val="1"/>
      <w:numFmt w:val="lowerLetter"/>
      <w:lvlText w:val="%5."/>
      <w:lvlJc w:val="left"/>
      <w:pPr>
        <w:ind w:left="3830" w:hanging="360"/>
      </w:pPr>
    </w:lvl>
    <w:lvl w:ilvl="5" w:tplc="0422001B" w:tentative="1">
      <w:start w:val="1"/>
      <w:numFmt w:val="lowerRoman"/>
      <w:lvlText w:val="%6."/>
      <w:lvlJc w:val="right"/>
      <w:pPr>
        <w:ind w:left="4550" w:hanging="180"/>
      </w:pPr>
    </w:lvl>
    <w:lvl w:ilvl="6" w:tplc="0422000F" w:tentative="1">
      <w:start w:val="1"/>
      <w:numFmt w:val="decimal"/>
      <w:lvlText w:val="%7."/>
      <w:lvlJc w:val="left"/>
      <w:pPr>
        <w:ind w:left="5270" w:hanging="360"/>
      </w:pPr>
    </w:lvl>
    <w:lvl w:ilvl="7" w:tplc="04220019" w:tentative="1">
      <w:start w:val="1"/>
      <w:numFmt w:val="lowerLetter"/>
      <w:lvlText w:val="%8."/>
      <w:lvlJc w:val="left"/>
      <w:pPr>
        <w:ind w:left="5990" w:hanging="360"/>
      </w:pPr>
    </w:lvl>
    <w:lvl w:ilvl="8" w:tplc="0422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80"/>
    <w:rsid w:val="0002330A"/>
    <w:rsid w:val="004806FB"/>
    <w:rsid w:val="004E6780"/>
    <w:rsid w:val="00793AF7"/>
    <w:rsid w:val="00835E4C"/>
    <w:rsid w:val="008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2AA74-0098-4403-9A83-3DB46E11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3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3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E4C"/>
  </w:style>
  <w:style w:type="paragraph" w:styleId="a5">
    <w:name w:val="footer"/>
    <w:basedOn w:val="a"/>
    <w:link w:val="a6"/>
    <w:uiPriority w:val="99"/>
    <w:unhideWhenUsed/>
    <w:rsid w:val="0083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eb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fpck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nck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_mvk@dfp.c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4</cp:revision>
  <dcterms:created xsi:type="dcterms:W3CDTF">2024-10-25T05:25:00Z</dcterms:created>
  <dcterms:modified xsi:type="dcterms:W3CDTF">2024-10-25T05:46:00Z</dcterms:modified>
</cp:coreProperties>
</file>